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11 savaitę benzinas A-95 Meksikoje pabrango 2,5 proc., Baltarusijoje–1,9 proc., Estijoje–1,6 proc., o Šveicarijoje atpigo 3,1 proc. Dyzelinas analizuojamu laikotarpiu Čilėje pabrango 2,7 proc., Baltarusijoje–1,9 proc., Makedonijoje–1,1 proc., o Turkijoje atpigo 2,7 proc.</w:t>
        <w:br w:type="textWrapping"/>
        <w:t xml:space="preserve">Per analizuojamą laikotarpį (9–11 savaites) benzinas A-95 Meksikoje pabrango 3,8 proc., Latvijoje–1,7 proc., Didžiojoje Britanijoje–1,5 proc., o Peru atpigo 6,0 proc. Dyzelinas analizuojamu laikotarpiu Čilėje ir Moldovoje pabrango 2,7 proc., Baltarusijoje–1,9 proc., Suomijoje–1,5 proc., o Kroatijoje atpigo 7,7 proc.</w:t>
        <w:br w:type="textWrapping"/>
        <w:t xml:space="preserve">Degalų kainos ES ir kitų šalių rinkose 2018 m. 9–11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