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22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2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</w:t>
        <w:br w:type="textWrapping"/>
        <w:t xml:space="preserve">Vidutinės kainos skaičiuojamos svertiniu būdu</w:t>
        <w:br w:type="textWrapping"/>
        <w:t xml:space="preserve">* lyginant 2018 m. rugpjūčio mėn. su 2018 m. liepos mėn.</w:t>
        <w:br w:type="textWrapping"/>
        <w:t xml:space="preserve">** lyginant 2018 m. rugpjūčio mėn. su 2017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