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8242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4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liepos mėn. su 2018 m. birželio mėn.</w:t>
        <w:br w:type="textWrapping"/>
        <w:t xml:space="preserve">** lyginant 2018 m. liepos mėn. su 2017 m. liepos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įskaitant šviežią mėsą, užpiltą druska kaip laikinuoju konservantu</w:t>
        <w:br w:type="textWrapping"/>
        <w:t xml:space="preserve">2) įskaitant bekonų šoninę, trijų ketvirčių šoninę arba vidurines dalis, priekines nuokartas, nugarines ir jų dalis, išskyrus kumpius, mentes ir jų dalis, su kaulais, papilves ir jų dalis</w:t>
        <w:br w:type="textWrapping"/>
        <w:t xml:space="preserve">3) (išskyrus paruoštus valgius ir patiekalus)</w:t>
        <w:br w:type="textWrapping"/>
        <w:t xml:space="preserve">4) (išskyrus iš kepenų pagamintas dešras, paruoštus valgius ir patiekalus)</w:t>
        <w:br w:type="textWrapping"/>
        <w:t xml:space="preserve">5) išskyrus dešras ir panašius produktus, homogenizuotus produktus, iš kepenų pagamintus maisto produktus, paruoštus valgius ir patiekalus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73 88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