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būdu, įskaitant įmonių ir (arba) ūkių supirktų galvijų, skerdžiamų pagal paslaugą kitoje skerdykloje, vertę.</w:t>
        <w:br w:type="textWrapping"/>
        <w:t xml:space="preserve">• – konfidencialūs duomenys</w:t>
        <w:br w:type="textWrapping"/>
        <w:t xml:space="preserve">* lyginant 2018 m. birželio mėn. su 2018 m. gegužės mėn.</w:t>
        <w:br w:type="textWrapping"/>
        <w:t xml:space="preserve">** lyginant 2018 m. birželio mėn. su 2017 m. birželio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