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31200" cy="3644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64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* lyginant 2017 m. su 2016 m.;</w:t>
        <w:br w:type="textWrapping"/>
        <w:t xml:space="preserve">į vidutinę (svertinę) kainą įskaityti transportavimo kaštai;</w:t>
        <w:br w:type="textWrapping"/>
        <w:t xml:space="preserve">● – konfidencialūs duomenys.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70 80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